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94" w:rsidRPr="00362BC6" w:rsidRDefault="00BE4B94" w:rsidP="00D7032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62BC6">
        <w:rPr>
          <w:rFonts w:ascii="Bookman Old Style" w:eastAsia="Times New Roman" w:hAnsi="Bookman Old Style" w:cs="Times New Roman"/>
          <w:b/>
          <w:sz w:val="24"/>
          <w:szCs w:val="24"/>
        </w:rPr>
        <w:t>DIET Infrastructure</w:t>
      </w:r>
    </w:p>
    <w:p w:rsidR="00D7032B" w:rsidRPr="00362BC6" w:rsidRDefault="00D7032B" w:rsidP="00D7032B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</w:rPr>
      </w:pPr>
      <w:r w:rsidRPr="00362BC6">
        <w:rPr>
          <w:rFonts w:ascii="Bookman Old Style" w:eastAsia="Times New Roman" w:hAnsi="Bookman Old Style" w:cs="Times New Roman"/>
          <w:sz w:val="24"/>
          <w:szCs w:val="24"/>
        </w:rPr>
        <w:t xml:space="preserve">Our institution was first established in the year 1983, in </w:t>
      </w:r>
      <w:r w:rsidR="00AE7E5E" w:rsidRPr="00362BC6">
        <w:rPr>
          <w:rFonts w:ascii="Bookman Old Style" w:eastAsia="Times New Roman" w:hAnsi="Bookman Old Style" w:cs="Times New Roman"/>
          <w:sz w:val="24"/>
          <w:szCs w:val="24"/>
        </w:rPr>
        <w:t>kalayarkoil,</w:t>
      </w:r>
      <w:r w:rsidRPr="00362BC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362BC6">
        <w:rPr>
          <w:rFonts w:ascii="Bookman Old Style" w:eastAsia="Times New Roman" w:hAnsi="Bookman Old Style" w:cs="Times New Roman"/>
          <w:sz w:val="24"/>
          <w:szCs w:val="24"/>
        </w:rPr>
        <w:t>sivagangai</w:t>
      </w:r>
      <w:proofErr w:type="spellEnd"/>
      <w:r w:rsidRPr="00362BC6">
        <w:rPr>
          <w:rFonts w:ascii="Bookman Old Style" w:eastAsia="Times New Roman" w:hAnsi="Bookman Old Style" w:cs="Times New Roman"/>
          <w:sz w:val="24"/>
          <w:szCs w:val="24"/>
        </w:rPr>
        <w:t xml:space="preserve"> District. </w:t>
      </w:r>
      <w:r w:rsidR="00362BC6" w:rsidRPr="00362BC6">
        <w:rPr>
          <w:rFonts w:ascii="Bookman Old Style" w:hAnsi="Bookman Old Style" w:cs="Times New Roman"/>
          <w:sz w:val="24"/>
          <w:szCs w:val="24"/>
        </w:rPr>
        <w:t xml:space="preserve">The </w:t>
      </w:r>
      <w:r w:rsidR="00AE7E5E" w:rsidRPr="00362BC6">
        <w:rPr>
          <w:rFonts w:ascii="Bookman Old Style" w:hAnsi="Bookman Old Style" w:cs="Times New Roman"/>
          <w:sz w:val="24"/>
          <w:szCs w:val="24"/>
        </w:rPr>
        <w:t>institute is</w:t>
      </w:r>
      <w:r w:rsidR="00362BC6" w:rsidRPr="00362BC6">
        <w:rPr>
          <w:rFonts w:ascii="Bookman Old Style" w:hAnsi="Bookman Old Style" w:cs="Times New Roman"/>
          <w:sz w:val="24"/>
          <w:szCs w:val="24"/>
        </w:rPr>
        <w:t xml:space="preserve"> </w:t>
      </w:r>
      <w:r w:rsidR="00AE7E5E" w:rsidRPr="00362BC6">
        <w:rPr>
          <w:rFonts w:ascii="Bookman Old Style" w:hAnsi="Bookman Old Style" w:cs="Times New Roman"/>
          <w:sz w:val="24"/>
          <w:szCs w:val="24"/>
        </w:rPr>
        <w:t>situated on</w:t>
      </w:r>
      <w:r w:rsidR="00362BC6" w:rsidRPr="00362BC6">
        <w:rPr>
          <w:rFonts w:ascii="Bookman Old Style" w:hAnsi="Bookman Old Style" w:cs="Times New Roman"/>
          <w:sz w:val="24"/>
          <w:szCs w:val="24"/>
        </w:rPr>
        <w:t xml:space="preserve"> the </w:t>
      </w:r>
      <w:proofErr w:type="spellStart"/>
      <w:r w:rsidR="00362BC6" w:rsidRPr="00362BC6">
        <w:rPr>
          <w:rFonts w:ascii="Bookman Old Style" w:hAnsi="Bookman Old Style" w:cs="Times New Roman"/>
          <w:sz w:val="24"/>
          <w:szCs w:val="24"/>
        </w:rPr>
        <w:t>Kalayarkovil</w:t>
      </w:r>
      <w:proofErr w:type="spellEnd"/>
      <w:r w:rsidR="00362BC6" w:rsidRPr="00362BC6">
        <w:rPr>
          <w:rFonts w:ascii="Bookman Old Style" w:hAnsi="Bookman Old Style" w:cs="Times New Roman"/>
          <w:sz w:val="24"/>
          <w:szCs w:val="24"/>
        </w:rPr>
        <w:t xml:space="preserve"> - </w:t>
      </w:r>
      <w:proofErr w:type="spellStart"/>
      <w:r w:rsidR="00362BC6" w:rsidRPr="00362BC6">
        <w:rPr>
          <w:rFonts w:ascii="Bookman Old Style" w:hAnsi="Bookman Old Style" w:cs="Times New Roman"/>
          <w:sz w:val="24"/>
          <w:szCs w:val="24"/>
        </w:rPr>
        <w:t>Paramakudi</w:t>
      </w:r>
      <w:proofErr w:type="spellEnd"/>
      <w:r w:rsidR="00362BC6" w:rsidRPr="00362BC6">
        <w:rPr>
          <w:rFonts w:ascii="Bookman Old Style" w:hAnsi="Bookman Old Style" w:cs="Times New Roman"/>
          <w:sz w:val="24"/>
          <w:szCs w:val="24"/>
        </w:rPr>
        <w:t xml:space="preserve"> in a campus with a beautiful tree trees, with modern facilities and sophisticated equipments. </w:t>
      </w:r>
      <w:r w:rsidRPr="00362BC6">
        <w:rPr>
          <w:rFonts w:ascii="Bookman Old Style" w:eastAsia="Times New Roman" w:hAnsi="Bookman Old Style" w:cs="Times New Roman"/>
          <w:sz w:val="24"/>
          <w:szCs w:val="24"/>
        </w:rPr>
        <w:t xml:space="preserve"> We are Proud that we have created good number of teachers to the society. Our teaching </w:t>
      </w:r>
      <w:proofErr w:type="gramStart"/>
      <w:r w:rsidRPr="00362BC6">
        <w:rPr>
          <w:rFonts w:ascii="Bookman Old Style" w:eastAsia="Times New Roman" w:hAnsi="Bookman Old Style" w:cs="Times New Roman"/>
          <w:sz w:val="24"/>
          <w:szCs w:val="24"/>
        </w:rPr>
        <w:t>faculties has</w:t>
      </w:r>
      <w:proofErr w:type="gramEnd"/>
      <w:r w:rsidRPr="00362BC6">
        <w:rPr>
          <w:rFonts w:ascii="Bookman Old Style" w:eastAsia="Times New Roman" w:hAnsi="Bookman Old Style" w:cs="Times New Roman"/>
          <w:sz w:val="24"/>
          <w:szCs w:val="24"/>
        </w:rPr>
        <w:t xml:space="preserve"> an excellent blend of academic background, experience and professional ability. This expert faculty ensures multi dimensional development of student wit</w:t>
      </w:r>
      <w:r w:rsidR="00362BC6">
        <w:rPr>
          <w:rFonts w:ascii="Bookman Old Style" w:eastAsia="Times New Roman" w:hAnsi="Bookman Old Style" w:cs="Times New Roman"/>
          <w:sz w:val="24"/>
          <w:szCs w:val="24"/>
        </w:rPr>
        <w:t>h a balanced combination of the</w:t>
      </w:r>
      <w:r w:rsidRPr="00362BC6">
        <w:rPr>
          <w:rFonts w:ascii="Bookman Old Style" w:eastAsia="Times New Roman" w:hAnsi="Bookman Old Style" w:cs="Times New Roman"/>
          <w:sz w:val="24"/>
          <w:szCs w:val="24"/>
        </w:rPr>
        <w:t xml:space="preserve">oretical as well as practical exposure. Our institute gave </w:t>
      </w:r>
      <w:r w:rsidRPr="00362BC6">
        <w:rPr>
          <w:rFonts w:ascii="Bookman Old Style" w:hAnsi="Bookman Old Style"/>
          <w:sz w:val="24"/>
          <w:szCs w:val="24"/>
        </w:rPr>
        <w:t>Innovative and gathering synergies for sourcing futuristic education to the student community for building a society of enlightened individuals with respect for life and ethics always promoting a novel culture of ‘Sharing your learning’ for a better tomorrow.</w:t>
      </w:r>
    </w:p>
    <w:p w:rsidR="00362BC6" w:rsidRDefault="00362BC6" w:rsidP="00D7032B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62BC6" w:rsidRDefault="00362BC6" w:rsidP="00D7032B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62BC6" w:rsidRDefault="00362BC6" w:rsidP="00D7032B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62BC6" w:rsidRDefault="00362BC6" w:rsidP="00D7032B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62BC6" w:rsidRDefault="00362BC6" w:rsidP="00D7032B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62BC6" w:rsidRDefault="00362BC6" w:rsidP="00D7032B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62BC6" w:rsidRDefault="00362BC6" w:rsidP="00D7032B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62BC6" w:rsidRDefault="00362BC6" w:rsidP="00D7032B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62BC6" w:rsidRDefault="00362BC6" w:rsidP="00D7032B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62BC6" w:rsidRDefault="00362BC6" w:rsidP="00D7032B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7032B" w:rsidRPr="00185FDB" w:rsidRDefault="00D7032B" w:rsidP="00D7032B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 w:rsidRPr="00185FDB">
        <w:rPr>
          <w:rFonts w:ascii="Bookman Old Style" w:hAnsi="Bookman Old Style"/>
          <w:b/>
          <w:bCs/>
          <w:sz w:val="24"/>
          <w:szCs w:val="24"/>
        </w:rPr>
        <w:lastRenderedPageBreak/>
        <w:t>DIET MAP</w:t>
      </w:r>
    </w:p>
    <w:p w:rsidR="00D7032B" w:rsidRPr="00185FDB" w:rsidRDefault="00D7032B" w:rsidP="00D7032B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85FDB">
        <w:rPr>
          <w:rFonts w:ascii="Bookman Old Style" w:hAnsi="Bookman Old Style"/>
          <w:noProof/>
        </w:rPr>
        <w:drawing>
          <wp:inline distT="0" distB="0" distL="0" distR="0">
            <wp:extent cx="5943600" cy="4152782"/>
            <wp:effectExtent l="19050" t="0" r="0" b="0"/>
            <wp:docPr id="1" name="Picture 2" descr="C:\Users\user\AppData\Local\Temp\Rar$DIa0.431\DIET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431\DIET 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680"/>
        <w:tblW w:w="82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20"/>
      </w:tblGrid>
      <w:tr w:rsidR="00BE4B94" w:rsidRPr="00CF55A3" w:rsidTr="00BE4B94">
        <w:trPr>
          <w:tblCellSpacing w:w="0" w:type="dxa"/>
        </w:trPr>
        <w:tc>
          <w:tcPr>
            <w:tcW w:w="8220" w:type="dxa"/>
            <w:hideMark/>
          </w:tcPr>
          <w:p w:rsidR="00BE4B94" w:rsidRDefault="00BE4B94" w:rsidP="00BE4B9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E4B94" w:rsidRDefault="00BE4B94" w:rsidP="00BE4B9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E4B94" w:rsidRDefault="00D470E7" w:rsidP="00BE4B9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Land Area in Square meters – 45000</w:t>
            </w:r>
          </w:p>
          <w:p w:rsidR="00D470E7" w:rsidRDefault="00D470E7" w:rsidP="00BE4B9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Built up area in Square meters - 7500</w:t>
            </w:r>
          </w:p>
          <w:p w:rsidR="00D470E7" w:rsidRDefault="00D470E7" w:rsidP="00BE4B9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E4B94" w:rsidRPr="00CF55A3" w:rsidRDefault="00BE4B94" w:rsidP="00BE4B9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F35107" w:rsidRDefault="00F35107" w:rsidP="00F351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4670" w:rsidRDefault="00BD4670" w:rsidP="00F351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4670" w:rsidRDefault="00BD4670" w:rsidP="00F351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4670" w:rsidRDefault="00BD4670" w:rsidP="00F351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4670" w:rsidRDefault="00BD4670" w:rsidP="00F35107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tblpY="864"/>
        <w:tblW w:w="9216" w:type="dxa"/>
        <w:tblLook w:val="04A0"/>
      </w:tblPr>
      <w:tblGrid>
        <w:gridCol w:w="738"/>
        <w:gridCol w:w="3887"/>
        <w:gridCol w:w="4591"/>
      </w:tblGrid>
      <w:tr w:rsidR="00D7032B" w:rsidTr="001802AA">
        <w:tc>
          <w:tcPr>
            <w:tcW w:w="738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S.No</w:t>
            </w:r>
            <w:proofErr w:type="spellEnd"/>
          </w:p>
        </w:tc>
        <w:tc>
          <w:tcPr>
            <w:tcW w:w="3887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4591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 in Sq. ft</w:t>
            </w:r>
          </w:p>
        </w:tc>
      </w:tr>
      <w:tr w:rsidR="00D7032B" w:rsidTr="001802AA">
        <w:tc>
          <w:tcPr>
            <w:tcW w:w="738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887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</w:p>
          <w:p w:rsidR="00D7032B" w:rsidRDefault="00D7032B" w:rsidP="001802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Classroom 1</w:t>
            </w:r>
          </w:p>
          <w:p w:rsidR="00D7032B" w:rsidRDefault="002C35EE" w:rsidP="001802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room</w:t>
            </w:r>
            <w:r w:rsidR="00D70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032B" w:rsidRPr="003452D8" w:rsidRDefault="00D7032B" w:rsidP="001802AA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</w:tr>
      <w:tr w:rsidR="00D7032B" w:rsidTr="001802AA">
        <w:tc>
          <w:tcPr>
            <w:tcW w:w="738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87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Multipurpose Hall – 1</w:t>
            </w:r>
          </w:p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</w:tr>
      <w:tr w:rsidR="00D7032B" w:rsidTr="001802AA">
        <w:tc>
          <w:tcPr>
            <w:tcW w:w="738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887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Auditorium</w:t>
            </w:r>
          </w:p>
        </w:tc>
        <w:tc>
          <w:tcPr>
            <w:tcW w:w="4591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7032B" w:rsidTr="001802AA">
        <w:tc>
          <w:tcPr>
            <w:tcW w:w="738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887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– cum – Reading room</w:t>
            </w:r>
          </w:p>
        </w:tc>
        <w:tc>
          <w:tcPr>
            <w:tcW w:w="4591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</w:tr>
      <w:tr w:rsidR="00D7032B" w:rsidTr="001802AA">
        <w:trPr>
          <w:trHeight w:val="170"/>
        </w:trPr>
        <w:tc>
          <w:tcPr>
            <w:tcW w:w="738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3887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 Resource Centre</w:t>
            </w:r>
          </w:p>
        </w:tc>
        <w:tc>
          <w:tcPr>
            <w:tcW w:w="4591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</w:tr>
      <w:tr w:rsidR="00D7032B" w:rsidTr="001802AA">
        <w:tc>
          <w:tcPr>
            <w:tcW w:w="738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887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Art&amp; Resource Centre</w:t>
            </w:r>
          </w:p>
        </w:tc>
        <w:tc>
          <w:tcPr>
            <w:tcW w:w="4591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D7032B" w:rsidTr="001802AA">
        <w:tc>
          <w:tcPr>
            <w:tcW w:w="738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887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&amp; Physical Education Resource Centre</w:t>
            </w:r>
          </w:p>
        </w:tc>
        <w:tc>
          <w:tcPr>
            <w:tcW w:w="4591" w:type="dxa"/>
          </w:tcPr>
          <w:p w:rsidR="00D7032B" w:rsidRDefault="00D7032B" w:rsidP="0018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 Lab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 Classroom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language Lab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Classroom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Multipurpose Playfield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2C35EE" w:rsidTr="001802AA">
        <w:trPr>
          <w:trHeight w:val="683"/>
        </w:trPr>
        <w:tc>
          <w:tcPr>
            <w:tcW w:w="9216" w:type="dxa"/>
            <w:gridSpan w:val="3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Facilities are available in the Institution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Principal’s Office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Room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Office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Separate Common Room for male &amp; female students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Room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Separate Toilet facility for male &amp; female students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Separate Toilet facility for Staff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Parking Space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space for Additional accommodation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Store Room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2C35EE" w:rsidTr="001802AA">
        <w:tc>
          <w:tcPr>
            <w:tcW w:w="738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3887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facility</w:t>
            </w:r>
          </w:p>
        </w:tc>
        <w:tc>
          <w:tcPr>
            <w:tcW w:w="4591" w:type="dxa"/>
          </w:tcPr>
          <w:p w:rsidR="002C35EE" w:rsidRDefault="002C35EE" w:rsidP="002C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</w:tbl>
    <w:p w:rsidR="00D7032B" w:rsidRPr="00D470E7" w:rsidRDefault="00D470E7" w:rsidP="00F3510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70E7">
        <w:rPr>
          <w:rFonts w:ascii="Times New Roman" w:hAnsi="Times New Roman" w:cs="Times New Roman"/>
          <w:b/>
          <w:sz w:val="24"/>
          <w:szCs w:val="24"/>
        </w:rPr>
        <w:t>Facilities Available in the Institute</w:t>
      </w:r>
    </w:p>
    <w:sectPr w:rsidR="00D7032B" w:rsidRPr="00D470E7" w:rsidSect="004C6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97C46"/>
    <w:multiLevelType w:val="hybridMultilevel"/>
    <w:tmpl w:val="39CEEE34"/>
    <w:lvl w:ilvl="0" w:tplc="F1E81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35107"/>
    <w:rsid w:val="002C35EE"/>
    <w:rsid w:val="00300031"/>
    <w:rsid w:val="00362BC6"/>
    <w:rsid w:val="00694E94"/>
    <w:rsid w:val="006E256B"/>
    <w:rsid w:val="00AE7E5E"/>
    <w:rsid w:val="00BD4670"/>
    <w:rsid w:val="00BE4B94"/>
    <w:rsid w:val="00D470E7"/>
    <w:rsid w:val="00D6382A"/>
    <w:rsid w:val="00D7032B"/>
    <w:rsid w:val="00F3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107"/>
    <w:pPr>
      <w:ind w:left="720"/>
      <w:contextualSpacing/>
    </w:pPr>
  </w:style>
  <w:style w:type="table" w:styleId="TableGrid">
    <w:name w:val="Table Grid"/>
    <w:basedOn w:val="TableNormal"/>
    <w:uiPriority w:val="59"/>
    <w:rsid w:val="00F35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Winzone</cp:lastModifiedBy>
  <cp:revision>10</cp:revision>
  <dcterms:created xsi:type="dcterms:W3CDTF">2016-12-01T07:21:00Z</dcterms:created>
  <dcterms:modified xsi:type="dcterms:W3CDTF">2016-12-02T06:13:00Z</dcterms:modified>
</cp:coreProperties>
</file>